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tLeast" w:line="360"/>
        <w:ind w:right="851" w:hanging="0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jc w:val="center"/>
        <w:rPr/>
      </w:pPr>
      <w:r>
        <w:rPr>
          <w:b/>
          <w:color w:val="000000"/>
          <w:sz w:val="28"/>
          <w:szCs w:val="28"/>
        </w:rPr>
        <w:t>ДОКЛАД</w:t>
      </w:r>
    </w:p>
    <w:p>
      <w:pPr>
        <w:pStyle w:val="Normal"/>
        <w:ind w:firstLine="709"/>
        <w:jc w:val="center"/>
        <w:rPr/>
      </w:pPr>
      <w:r>
        <w:rPr>
          <w:b/>
          <w:color w:val="000000"/>
          <w:sz w:val="28"/>
          <w:szCs w:val="28"/>
        </w:rPr>
        <w:t>Мэра Великого Новгорода Бусурина С.В.</w:t>
      </w:r>
    </w:p>
    <w:p>
      <w:pPr>
        <w:pStyle w:val="Normal"/>
        <w:ind w:firstLine="709"/>
        <w:jc w:val="center"/>
        <w:rPr/>
      </w:pPr>
      <w:r>
        <w:rPr>
          <w:b/>
          <w:color w:val="000000"/>
          <w:sz w:val="28"/>
          <w:szCs w:val="28"/>
        </w:rPr>
        <w:t>о результатах своей деятельности и деятельности</w:t>
      </w:r>
    </w:p>
    <w:p>
      <w:pPr>
        <w:pStyle w:val="Normal"/>
        <w:ind w:firstLine="709"/>
        <w:jc w:val="center"/>
        <w:rPr/>
      </w:pPr>
      <w:r>
        <w:rPr>
          <w:b/>
          <w:color w:val="000000"/>
          <w:sz w:val="28"/>
          <w:szCs w:val="28"/>
        </w:rPr>
        <w:t>Администрации Великого Новгорода</w:t>
      </w:r>
    </w:p>
    <w:p>
      <w:pPr>
        <w:pStyle w:val="Normal"/>
        <w:ind w:firstLine="709"/>
        <w:jc w:val="center"/>
        <w:rPr/>
      </w:pPr>
      <w:r>
        <w:rPr>
          <w:b/>
          <w:color w:val="000000"/>
          <w:sz w:val="28"/>
          <w:szCs w:val="28"/>
        </w:rPr>
        <w:t>в 2020 году</w:t>
      </w:r>
    </w:p>
    <w:p>
      <w:pPr>
        <w:pStyle w:val="Normal"/>
        <w:ind w:firstLine="709"/>
        <w:jc w:val="center"/>
        <w:rPr>
          <w:b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</w:p>
    <w:p>
      <w:pPr>
        <w:pStyle w:val="Normal"/>
        <w:spacing w:lineRule="auto" w:line="360"/>
        <w:ind w:firstLine="709"/>
        <w:jc w:val="center"/>
        <w:rPr/>
      </w:pPr>
      <w:r>
        <w:rPr>
          <w:color w:val="000000"/>
          <w:sz w:val="28"/>
          <w:szCs w:val="28"/>
        </w:rPr>
        <w:t xml:space="preserve">Уважаемые депутаты, уважаемые присутствующие! 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В соответствии с требованиями Федерального закона № 131-ФЗ, а также Устава города представляю Вашему вниманию ежегодный отчет о результатах деятельности Мэра и Администрации Великого Новгорода в 2020 году.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В представленных Вашему вниманию раздаточных материалах содержится информация по тем проблемным вопросам, которые поднимались депутатским корпусом в ходе обсуждения моего отчета за 2019 год, и я не буду на них останавливаться.</w:t>
      </w:r>
    </w:p>
    <w:p>
      <w:pPr>
        <w:pStyle w:val="Normal"/>
        <w:spacing w:lineRule="auto" w:line="276"/>
        <w:ind w:hanging="0"/>
        <w:jc w:val="both"/>
        <w:rPr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Ключевые события начала 2020 года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Знаковыми событиями начала 2020 стали Послание Президента Российской Федерации Федеральному собранию, обновление  Правительства  страны, назначение нового главы Правительства, его визит в Великий Новгород. 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Серьезным фактором, оказавшим огромное влияние на нашу работу, стало распространение новой коронавирусной инфекции и введение режима повышенной готовности на территории региона в марте 2020 года. Пандемия стала причиной возникновения  рисков для исполнения бюджета и реализации наших планов. Но могу твердо сказать , что мы с Вами успешно справились с этим серьезным вызовом, с которым столкнулись впервые, и смогли выполнить все задачи, поставленные перед Администрацией Великого Новгорода, в том числе благодаря поддержке Правительства области и Федерального правительства.</w:t>
      </w:r>
      <w:r>
        <w:rPr>
          <w:i w:val="false"/>
          <w:iCs w:val="false"/>
          <w:color w:val="000000"/>
          <w:sz w:val="28"/>
          <w:szCs w:val="28"/>
        </w:rPr>
        <w:t xml:space="preserve"> В рамках регулярного мониторинга, проводимого на территории области в целях оценки населением результатов деятельности ОМС, показатели уровня удовлетворенности жителей города деятельностью Мэра и Администрации Великого Новгорода в 2020 году имеют положительную динамику и показывают рост в среднем на 5%.</w:t>
      </w:r>
    </w:p>
    <w:p>
      <w:pPr>
        <w:pStyle w:val="Normal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color w:val="000000"/>
          <w:sz w:val="28"/>
          <w:szCs w:val="28"/>
        </w:rPr>
        <w:t>Основные социально-экономические показатели в 2020 году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По основным социально-экономическим показателям по итогам года город вышел с результатами, которые представлены на слайде: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оборот организаций по сравнению с 2019 годом увеличился на 12,8%;</w:t>
      </w:r>
    </w:p>
    <w:p>
      <w:pPr>
        <w:pStyle w:val="Normal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объем отгруженной продукции обрабатывающими производствами  увеличился на 3,1%;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рост объема выполненных работ по виду деятельности «Строительство» - на 34,4,%;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средняя номинальная заработная плата составила – 43,4 тысячи рублей с ростом на 5,5% к уровню предыдущего года.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Однако по итогам года отмечается рост числа безработных граждан по отношению к началу 2020 года.  В значительной степени это обусловлено  притоком граждан из теневого сектора в связи с предоставлением беспрецедентных дополнительных государственных преференций  для тех, кто  не имеет профессионального образования, впервые ищет работу, длительно не работал, воспитывает несовершеннолетних детей.</w:t>
      </w:r>
    </w:p>
    <w:p>
      <w:pPr>
        <w:pStyle w:val="Normal"/>
        <w:spacing w:lineRule="auto" w:line="360"/>
        <w:ind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360"/>
        <w:ind w:hanging="0"/>
        <w:jc w:val="both"/>
        <w:rPr/>
      </w:pPr>
      <w:r>
        <w:rPr>
          <w:b/>
          <w:bCs/>
          <w:color w:val="000000"/>
          <w:sz w:val="28"/>
          <w:szCs w:val="28"/>
        </w:rPr>
        <w:t>Основные параметры бюджета Великого Новгорода за 2020 год.</w:t>
      </w:r>
    </w:p>
    <w:p>
      <w:pPr>
        <w:pStyle w:val="Normal"/>
        <w:spacing w:lineRule="auto" w:line="360"/>
        <w:ind w:firstLine="708"/>
        <w:jc w:val="both"/>
        <w:rPr/>
      </w:pPr>
      <w:r>
        <w:rPr>
          <w:color w:val="000000"/>
          <w:sz w:val="28"/>
          <w:szCs w:val="28"/>
        </w:rPr>
        <w:t xml:space="preserve">Итоги исполнения городского бюджета за 2020 год показывают, что бюджетная система выдержала вызовы минувшего года. </w:t>
      </w:r>
    </w:p>
    <w:p>
      <w:pPr>
        <w:pStyle w:val="Normal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Доходы городского бюджета исполнены на 102,7%.</w:t>
      </w:r>
    </w:p>
    <w:p>
      <w:pPr>
        <w:pStyle w:val="Normal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Профинансированы своевременно и в полном объеме все социальные и долговые обязательства, которые мы вместе с Вами утвердили, принимая бюджет Великого Новгорода на 2020 год.</w:t>
      </w:r>
    </w:p>
    <w:p>
      <w:pPr>
        <w:pStyle w:val="Normal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Муниципальный долг не увеличился.</w:t>
      </w:r>
    </w:p>
    <w:p>
      <w:pPr>
        <w:pStyle w:val="Normal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 не менее, год был непростым. На фоне некоторого снижения собственных налоговых и неналоговых доходов городского бюджета добиться выполнения бюджета стало возможным благодаря финансовой помощи из других уровней бюджетов.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Бюджету города поступила дотация 114,4 млн. рублей на частичную компенсацию выпадающих доходов.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Проведена реструктуризация по трем бюджетным кредитам, подлежащим погашению в 2020 году, на общую сумму 42,4 млн. рублей с переносом срока погашения задолженности на период с 2025 года по 2029 год.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За счет снижения ключевой ставки Центробанка России, пересмотра графика платежей по долговым обязательствам и привлечения казначейских кредитов успешно выполнена Программа внутренних заимствований, почти на 40 млн. рублей  снижены расходы на обслуживание муниципального долга. Это ответ на вопрос, почему мы в течение года объявляли аукционы на оказание услуг по предоставлению кредита.</w:t>
      </w:r>
    </w:p>
    <w:p>
      <w:pPr>
        <w:pStyle w:val="Normal"/>
        <w:spacing w:lineRule="auto" w:line="276"/>
        <w:ind w:hanging="0"/>
        <w:jc w:val="both"/>
        <w:rPr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Реализация национальных проектов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Главные усилия в работе Администрации Великого Новгорода в 2020 году были сосредоточены на реализации национальных проектов с учетом приоритетных направлений развития города, закрепленных в решении Думы Великого Новгорода  от 27.10.2017 № 1288 «Об утверждении Стратегии социально-экономического развития Великого Новгорода на период до 2030 года».  </w:t>
      </w:r>
    </w:p>
    <w:p>
      <w:pPr>
        <w:pStyle w:val="Normal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Ремонт дворовых территорий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В истекшем году мы выполнили все планы по благоустройству дворовых и общественных территорий в рамках федерального проекта «Формирование комфортной городской среды», а это 53 дворовые и 5 общественных пространств. Общая сумма средств, направленная </w:t>
      </w:r>
      <w:r>
        <w:rPr>
          <w:color w:val="000000"/>
          <w:sz w:val="28"/>
          <w:szCs w:val="28"/>
        </w:rPr>
        <w:t xml:space="preserve">на эти цели составила 124,9 млн. рублей.  </w:t>
      </w:r>
    </w:p>
    <w:p>
      <w:pPr>
        <w:pStyle w:val="Normal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Благоустройство  общественных территорий</w:t>
      </w:r>
    </w:p>
    <w:p>
      <w:pPr>
        <w:pStyle w:val="11"/>
        <w:spacing w:lineRule="auto" w:line="276"/>
        <w:ind w:firstLine="709"/>
        <w:jc w:val="both"/>
        <w:rPr>
          <w:rFonts w:ascii="Liberation Serif" w:hAnsi="Liberation Serif" w:cs="Arial"/>
          <w:sz w:val="28"/>
          <w:szCs w:val="28"/>
        </w:rPr>
      </w:pPr>
      <w:r>
        <w:rPr>
          <w:rFonts w:cs="Arial" w:ascii="Liberation Serif" w:hAnsi="Liberation Serif"/>
          <w:sz w:val="28"/>
          <w:szCs w:val="28"/>
        </w:rPr>
        <w:t xml:space="preserve">В 2021 году планируется выполнить благоустройство 27 дворовых территорий и обустройство парков Веряжский, Юности и 30-лет Октября, сквера Памяти, а также общественного пространства у «ДКМ «Город». Будет разработана ПСД на благоустройство трех общественных пространств - «Псковская роща», «Деревяницкая роща» и «Чистые пруды», к работам на которых приступим в 2022 году. 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Хочу обратить Ваше внимание, что контракты на благоустройство в 2021 году уже заключены, а по некоторым, как парк Веряжский, начаты работы. </w:t>
      </w:r>
      <w:r>
        <w:rPr>
          <w:color w:val="000000"/>
          <w:sz w:val="28"/>
          <w:szCs w:val="28"/>
        </w:rPr>
        <w:t xml:space="preserve"> Общая сумма, направленная на эти цели составит 106 млн. рублей.</w:t>
      </w:r>
    </w:p>
    <w:p>
      <w:pPr>
        <w:pStyle w:val="Normal"/>
        <w:spacing w:lineRule="auto" w:line="276"/>
        <w:ind w:hanging="0"/>
        <w:jc w:val="both"/>
        <w:rPr>
          <w:b/>
          <w:b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>
          <w:b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Благоустройство общественных территорий 2 (Результат благоустройства парков).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В наших планах добиться того, чтобы каждый район города имел свою общественную территорию и площадку для проведению культурных, праздничных и спортивных мероприятий.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>Центральным штабом ОНФ организация общественных пространств в городе отмечена как пример грамотного проектного решения, которая будет рекомендована другим малым городам России в качестве успешной практики.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>Наши горожане принимают активное участие в обсуждении вопросов благоустройства и сегодня показатель «доля жителей Великого Новгорода старше 14 лет, принимающих участие в обсуждении вопросов развития городской среды», составляет 14,6 % при плановом показателе 12 %. К 2024 году у нас этот показатель уже должен составлять 30 %. Предстоит очень серьезная и важная работа, в том числе с привлечением цифровых технологий.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</w:rPr>
      </w:pPr>
      <w:r>
        <w:rPr>
          <w:b/>
          <w:bCs/>
          <w:sz w:val="28"/>
          <w:szCs w:val="28"/>
        </w:rPr>
        <w:t>«Обратная связь с гражданами по решению проблемных вопросов».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Мы уделяем особое внимание  обратной связи с гражданами по решению проблемных вопросов.  Работа ведется по устным и письменным обращениям , в том числе через интернет-приемную. Кроме этого, Администрация Великого Новгорода отвечает на сообщения, поступившие через региональный портал «Вечевой колокол», а также через систему работы с сообщениями, поступающими из открытых источников (социальных сетей). Теперь к этим формам добавилась еще одна Платформа обратной связи (ПОС), когда сообщения поступают через портал «Госуслуги».  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bCs/>
          <w:color w:val="000000"/>
          <w:sz w:val="28"/>
          <w:szCs w:val="28"/>
        </w:rPr>
        <w:t>Энергосбережение Великого Новгорода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>Жителями и депутатами неоднократно поднимался вопрос городского освещения. Благодаря поддержке Губернатора Новгородской области и средств, выделенных бюджетом города Москвы, в Великом Новгороде реализован проект по замене на всех существующих муниципальных опорах 8 760 старых фонарей наружного освещения на новые светодиодные и проблемный вопрос решен.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Предпринятые действия по повышению энергоэффективности городского освещения дают экономию бюджетных средств, которая пойдет на городские </w:t>
      </w:r>
      <w:r>
        <w:rPr>
          <w:sz w:val="28"/>
          <w:szCs w:val="28"/>
        </w:rPr>
        <w:t>нужды и исполнение социальных обязательств города.  По итогам наступившего года мы ожидаем экономию около 30 млн. рублей.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sz w:val="28"/>
          <w:szCs w:val="28"/>
        </w:rPr>
        <w:t>Реализация национального проекта «Безопасные и качественные автомобильные дороги»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Участвуя в реализации приоритетного проекта «Безопасные и качественные автомобильные дороги», мы выполнили  в 2020 году ремонт 35,8 км на 42 участках. </w:t>
      </w:r>
      <w:r>
        <w:rPr>
          <w:sz w:val="28"/>
        </w:rPr>
        <w:t xml:space="preserve">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rFonts w:eastAsia="Calibri"/>
          <w:kern w:val="0"/>
          <w:sz w:val="28"/>
          <w:lang w:bidi="ar-SA"/>
        </w:rPr>
      </w:pPr>
      <w:r>
        <w:rPr>
          <w:rFonts w:eastAsia="Calibri"/>
          <w:kern w:val="0"/>
          <w:sz w:val="28"/>
          <w:lang w:bidi="ar-SA"/>
        </w:rPr>
        <w:t xml:space="preserve">География ремонтов затронула большинство районов Великого Новгорода. При ремонте улично-дорожной сети применены наилучшие технологии, материалы и технологическе решения.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 нормативное состояние приведено порядка 73% городских дорог. </w:t>
      </w:r>
      <w:r>
        <w:rPr>
          <w:sz w:val="28"/>
          <w:szCs w:val="28"/>
        </w:rPr>
        <w:t>С учетом работ, планируемых к выполнению в 2021 году, показатель составит не менее 80%.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rFonts w:eastAsia="Calibri"/>
          <w:color w:val="202122"/>
          <w:kern w:val="0"/>
          <w:sz w:val="28"/>
          <w:lang w:bidi="ar-SA"/>
        </w:rPr>
      </w:pPr>
      <w:r>
        <w:rPr>
          <w:rFonts w:eastAsia="Calibri"/>
          <w:color w:val="202122"/>
          <w:kern w:val="0"/>
          <w:sz w:val="28"/>
          <w:lang w:bidi="ar-SA"/>
        </w:rPr>
        <w:t>В 2021 году запланировано отремонтировать 30 объектов улично-дорожной сети, протяженностью 21,3 км.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Самым масштабным объектом станет проспект Мира. Подрядчик на выполнение работ уже определен. </w:t>
      </w:r>
      <w:r>
        <w:rPr>
          <w:color w:val="000000"/>
          <w:sz w:val="28"/>
          <w:lang w:eastAsia="ru-RU"/>
        </w:rPr>
        <w:t xml:space="preserve">В ближайшее время планируется разместить аукционную документацию на выполнение остальных работ, и частично уже и на 2022 год. </w:t>
      </w:r>
    </w:p>
    <w:p>
      <w:pPr>
        <w:pStyle w:val="Normal"/>
        <w:spacing w:lineRule="auto" w:line="276"/>
        <w:ind w:firstLine="709"/>
        <w:jc w:val="both"/>
        <w:rPr>
          <w:i/>
          <w:i/>
          <w:iCs/>
        </w:rPr>
      </w:pPr>
      <w:r>
        <w:rPr>
          <w:i w:val="false"/>
          <w:iCs w:val="false"/>
          <w:color w:val="000000" w:themeColor="text1"/>
          <w:sz w:val="28"/>
          <w:szCs w:val="28"/>
        </w:rPr>
        <w:t>Заключен муниципальный контракт на выполнение проектных работ по реконструкции и строительству ул. Вересова. Проект с положительным заключением государственной экспертизы предполагается получить в марте–апреле 2021 года, основные работы будут выполнены до 30 ноября 2021 года.</w:t>
      </w:r>
    </w:p>
    <w:p>
      <w:pPr>
        <w:pStyle w:val="Normal"/>
        <w:spacing w:lineRule="auto" w:line="276"/>
        <w:ind w:firstLine="709"/>
        <w:jc w:val="both"/>
        <w:rPr>
          <w:i/>
          <w:i/>
          <w:iCs/>
          <w:color w:val="000000" w:themeColor="text1"/>
          <w:highlight w:val="yellow"/>
        </w:rPr>
      </w:pPr>
      <w:r>
        <w:rPr>
          <w:i w:val="false"/>
          <w:iCs w:val="false"/>
          <w:color w:val="000000" w:themeColor="text1"/>
          <w:sz w:val="28"/>
          <w:szCs w:val="28"/>
        </w:rPr>
        <w:t>(В рамках этого проекта планируется продление ул. Вересова до ФОКа с разворотной площадкой, освещением, и уширением данной улицы.)</w:t>
      </w:r>
    </w:p>
    <w:p>
      <w:pPr>
        <w:pStyle w:val="Normal"/>
        <w:spacing w:lineRule="auto" w:line="276"/>
        <w:ind w:firstLine="709"/>
        <w:jc w:val="both"/>
        <w:rPr>
          <w:i/>
          <w:i/>
          <w:iCs/>
          <w:color w:val="000000" w:themeColor="text1"/>
          <w:highlight w:val="yellow"/>
        </w:rPr>
      </w:pPr>
      <w:r>
        <w:rPr>
          <w:i w:val="false"/>
          <w:iCs w:val="false"/>
          <w:color w:val="000000" w:themeColor="text1"/>
          <w:sz w:val="28"/>
          <w:szCs w:val="28"/>
        </w:rPr>
        <w:t>В ближайшее время планируется объявить аукцион на проектные работы по строительству дороги, связывающую ул. Вересова и ул. Щусева, со сроком окончания работ по ПСД — сентябрь 2021 года. Строительство данной дороги в рамках «БКАД» планируется в 2022 году.</w:t>
      </w:r>
    </w:p>
    <w:p>
      <w:pPr>
        <w:pStyle w:val="Normal"/>
        <w:spacing w:lineRule="auto" w:line="276"/>
        <w:ind w:firstLine="709"/>
        <w:jc w:val="both"/>
        <w:rPr>
          <w:color w:val="000000" w:themeColor="text1"/>
        </w:rPr>
      </w:pPr>
      <w:r>
        <w:rPr>
          <w:i w:val="false"/>
          <w:iCs w:val="false"/>
          <w:color w:val="000000" w:themeColor="text1"/>
          <w:sz w:val="28"/>
          <w:szCs w:val="28"/>
        </w:rPr>
        <w:t xml:space="preserve">Будет разработан проект на строительство местного проезда в квартале 11 района Деревяницы-1 Великого Новгорода, который свяжет транспортными и пешеходными путями жилой район «Ивушки» и автомобильную дорогу «Новгород-Хутынь».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i/>
          <w:i/>
          <w:iCs/>
        </w:rPr>
      </w:pPr>
      <w:r>
        <w:rPr>
          <w:i w:val="false"/>
          <w:iCs w:val="false"/>
          <w:color w:val="000000" w:themeColor="text1"/>
          <w:sz w:val="28"/>
          <w:szCs w:val="28"/>
        </w:rPr>
        <w:t>Администрация города планирует провести в 2021 году актуализацию проекта продолжения улицы 8 Марта, чтобы подать заявку на 2022–2023 годы для получения федерального финансирования. Реализация этого проекта даст толчок к дальнейшему развитию Западного и Псковского жилых районов, а также существенно разгрузить ул.Нехинскую.</w:t>
      </w:r>
    </w:p>
    <w:p>
      <w:pPr>
        <w:pStyle w:val="Normal"/>
        <w:spacing w:lineRule="auto" w:line="276"/>
        <w:ind w:hanging="0"/>
        <w:jc w:val="both"/>
        <w:rPr>
          <w:b/>
          <w:b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sz w:val="28"/>
          <w:szCs w:val="28"/>
        </w:rPr>
        <w:t>Реализация национального проекта «Жилье и городская среда»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В рамках национального проекта «Жилье и городская среда» завершена реконструкция автомобильной дороги Псковской улицы.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За счет средств дорожного фонда Новгородской области и дорожного фонда Великого Новгорода выполнено строительство автомобильной дороги Морозовского проезда с устройством тротуаров и наружного электроосвещения.  </w:t>
      </w:r>
    </w:p>
    <w:p>
      <w:pPr>
        <w:pStyle w:val="Normal"/>
        <w:spacing w:lineRule="auto" w:line="276"/>
        <w:ind w:hanging="0"/>
        <w:jc w:val="both"/>
        <w:rPr>
          <w:b/>
          <w:b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sz w:val="28"/>
          <w:szCs w:val="28"/>
        </w:rPr>
        <w:t>Реализация регионального проекта «Дорога к дому»</w:t>
      </w:r>
    </w:p>
    <w:p>
      <w:pPr>
        <w:pStyle w:val="Normal"/>
        <w:shd w:val="clear" w:color="auto" w:fill="FFFFFF"/>
        <w:spacing w:lineRule="auto" w:line="276"/>
        <w:jc w:val="both"/>
        <w:rPr/>
      </w:pPr>
      <w:r>
        <w:rPr>
          <w:b/>
          <w:sz w:val="28"/>
          <w:szCs w:val="28"/>
        </w:rPr>
        <w:tab/>
      </w:r>
      <w:r>
        <w:rPr>
          <w:color w:val="000000"/>
          <w:sz w:val="28"/>
          <w:szCs w:val="28"/>
        </w:rPr>
        <w:t>В ходе реализации инициативы Губернатора Новгородской области - регионального проекта «Дорога к дому» отремонтировано 15 участков автомобильных дорог у социальных объектов. Данную работу продолжим и в текущем году, в плане ремонт 21 участка.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Ремонт мостов и путепроводов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Еще один объект - Колмовский мост, завершение работ по которому запланировано на 31 июля текущего года. Проект реализуется в срок, в настоящее время выполнено 60 % работ. 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Ремонт мостов и путепроводов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Для реализации планов по капитальному ремонту путепровода по Лужскому шоссе разработан проект. О</w:t>
      </w:r>
      <w:r>
        <w:rPr>
          <w:color w:val="000000"/>
          <w:sz w:val="28"/>
          <w:szCs w:val="28"/>
        </w:rPr>
        <w:t>н уже прошел</w:t>
      </w:r>
      <w:r>
        <w:rPr>
          <w:sz w:val="28"/>
          <w:szCs w:val="28"/>
        </w:rPr>
        <w:t xml:space="preserve"> государственную экспертизу.</w:t>
      </w:r>
      <w:r>
        <w:rPr>
          <w:sz w:val="28"/>
          <w:szCs w:val="28"/>
        </w:rPr>
        <w:t xml:space="preserve"> Заявка на выделение средств для его реализации направлена в адрес Губернатора Новгородской области.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По капитальному ремонту путепровода в начале просп. Мира проект разработан в 2014 году и получил положительное заключение государственной экспертизы. Планируется осуществить корректировку ПСД в текущем году.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В 2021 году запланирована разработка проекта капитального ремонта путепровода через железнодорожные пути по Сырковскому шоссе.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bCs/>
          <w:sz w:val="28"/>
          <w:szCs w:val="28"/>
          <w:lang w:eastAsia="en-US"/>
        </w:rPr>
        <w:t>Надеюсь, и мы обсуждали это во время различных форумов с главами других муниципальных образований страны, что появится федеральная программа, нацпроект, которые позволят нам ремонтировать мосты</w:t>
      </w:r>
      <w:r>
        <w:rPr>
          <w:bCs/>
          <w:sz w:val="28"/>
          <w:szCs w:val="28"/>
          <w:lang w:eastAsia="en-US"/>
        </w:rPr>
        <w:t xml:space="preserve"> </w:t>
      </w:r>
      <w:r>
        <w:rPr>
          <w:b w:val="false"/>
          <w:bCs w:val="false"/>
          <w:sz w:val="28"/>
          <w:szCs w:val="28"/>
          <w:lang w:eastAsia="en-US"/>
        </w:rPr>
        <w:t>и путепроводы</w:t>
      </w:r>
      <w:r>
        <w:rPr>
          <w:b w:val="false"/>
          <w:bCs w:val="false"/>
          <w:sz w:val="28"/>
          <w:szCs w:val="28"/>
          <w:lang w:eastAsia="en-US"/>
        </w:rPr>
        <w:t xml:space="preserve"> на территории муниципалитетов.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kern w:val="0"/>
          <w:sz w:val="28"/>
          <w:szCs w:val="28"/>
          <w:lang w:bidi="ar-SA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kern w:val="0"/>
          <w:sz w:val="28"/>
          <w:szCs w:val="28"/>
          <w:lang w:bidi="ar-SA"/>
        </w:rPr>
        <w:t>Пешеходные переходы и ограждения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Важную роль в формировании современной городской среды играют вопросы безопасности жизнедеятельности горожан, в том числе безопасности дорожного движения. В истекшем году н</w:t>
      </w:r>
      <w:r>
        <w:rPr>
          <w:rFonts w:eastAsia="Calibri"/>
          <w:kern w:val="0"/>
          <w:sz w:val="28"/>
          <w:lang w:bidi="ar-SA"/>
        </w:rPr>
        <w:t xml:space="preserve">а </w:t>
      </w:r>
      <w:r>
        <w:rPr>
          <w:sz w:val="28"/>
        </w:rPr>
        <w:t xml:space="preserve">18 участках </w:t>
      </w:r>
      <w:r>
        <w:rPr>
          <w:color w:val="000000"/>
          <w:kern w:val="0"/>
          <w:sz w:val="28"/>
          <w:lang w:bidi="ar-SA"/>
        </w:rPr>
        <w:t xml:space="preserve">улично-дорожной сети выполнены работы по ликвидации мест концентрации дорожно-транспортных происшествий (установлены дорожные знаки-дублеры, искусственные дорожные неровности, устройство инженерно-технических систем обеспечения безопасности дорожного движения). 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  <w:color w:val="000000"/>
          <w:kern w:val="0"/>
          <w:sz w:val="28"/>
          <w:szCs w:val="28"/>
          <w:lang w:bidi="ar-SA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bCs/>
          <w:color w:val="000000"/>
          <w:kern w:val="0"/>
          <w:sz w:val="28"/>
          <w:szCs w:val="28"/>
          <w:lang w:bidi="ar-SA"/>
        </w:rPr>
        <w:t>Обеспечение безопасности дорожного движения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Работа, проводимая по ремонту улично-дорожной сети, и выполнение комплекса мероприятий по обеспечению безопасности дорожного движения приносят свои положительные результаты. Число очагов аварийности за отчетный период сократилось с 26 до 15. По сравнению с 2019 годом количество ДТП снизилось на 14 %, а количество ДТП с участием детей на 32%. В результате сохранено здоровье 18 детей. Реализация мероприятий в данном направлении будет продолжена и в 2021  году.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Повышение устойчивости коммунальных систем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>В истекшем году повышена устойчивость коммунальных систем. Для обеспечения эффективного функционирования систем жизнеобеспечения в 2020 году выполнены ремонт тепловых сетей, сетей горячего и холодного в</w:t>
      </w:r>
      <w:r>
        <w:rPr>
          <w:i w:val="false"/>
          <w:iCs w:val="false"/>
          <w:sz w:val="28"/>
          <w:szCs w:val="28"/>
        </w:rPr>
        <w:t>одоснабжения, сетей хозяйственно бытовой канализации.</w:t>
      </w:r>
    </w:p>
    <w:p>
      <w:pPr>
        <w:pStyle w:val="Normal"/>
        <w:shd w:val="clear" w:color="auto" w:fill="FFFFFF"/>
        <w:spacing w:lineRule="auto" w:line="276"/>
        <w:jc w:val="both"/>
        <w:rPr>
          <w:sz w:val="28"/>
          <w:szCs w:val="28"/>
        </w:rPr>
      </w:pPr>
      <w:r>
        <w:rPr>
          <w:i w:val="false"/>
          <w:iCs w:val="false"/>
          <w:sz w:val="28"/>
          <w:szCs w:val="28"/>
        </w:rPr>
        <w:t>- ремонт 4,5  км тепловых сетей и сетей горячего водоснабжения;</w:t>
      </w:r>
    </w:p>
    <w:p>
      <w:pPr>
        <w:pStyle w:val="Normal"/>
        <w:shd w:val="clear" w:color="auto" w:fill="FFFFFF"/>
        <w:spacing w:lineRule="auto" w:line="276"/>
        <w:jc w:val="both"/>
        <w:rPr>
          <w:sz w:val="28"/>
          <w:szCs w:val="28"/>
        </w:rPr>
      </w:pPr>
      <w:r>
        <w:rPr>
          <w:i w:val="false"/>
          <w:iCs w:val="false"/>
          <w:sz w:val="28"/>
          <w:szCs w:val="28"/>
        </w:rPr>
        <w:t>- ремонт 1,8 км сетей холодного водоснабжения;</w:t>
      </w:r>
    </w:p>
    <w:p>
      <w:pPr>
        <w:pStyle w:val="Normal"/>
        <w:shd w:val="clear" w:color="auto" w:fill="FFFFFF"/>
        <w:spacing w:lineRule="auto" w:line="276"/>
        <w:jc w:val="both"/>
        <w:rPr>
          <w:i/>
          <w:i/>
          <w:iCs/>
        </w:rPr>
      </w:pPr>
      <w:r>
        <w:rPr>
          <w:i w:val="false"/>
          <w:iCs w:val="false"/>
          <w:sz w:val="28"/>
          <w:szCs w:val="28"/>
        </w:rPr>
        <w:t>- ремонт 2,02 км сетей хозяйственно-бытовой канализации</w:t>
      </w:r>
    </w:p>
    <w:p>
      <w:pPr>
        <w:pStyle w:val="Normal"/>
        <w:shd w:val="clear" w:color="auto" w:fill="FFFFFF"/>
        <w:spacing w:lineRule="auto" w:line="276"/>
        <w:jc w:val="both"/>
        <w:rPr/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Также в прошлом году проведена заменена 14 участков ливневой канализации протяженностью 3,7 км. Работы проведены за счет средств резервного фонда Правительства Российской Федерации на сумму 63,4 млн. рублей. Мы успешно справились с этой задачей. </w:t>
      </w:r>
    </w:p>
    <w:p>
      <w:pPr>
        <w:pStyle w:val="Normal"/>
        <w:shd w:val="clear" w:color="auto" w:fill="FFFFFF"/>
        <w:spacing w:lineRule="auto" w:line="276"/>
        <w:jc w:val="both"/>
        <w:rPr/>
      </w:pPr>
      <w:r>
        <w:rPr>
          <w:sz w:val="28"/>
          <w:szCs w:val="28"/>
        </w:rPr>
        <w:t xml:space="preserve"> </w:t>
      </w:r>
    </w:p>
    <w:p>
      <w:pPr>
        <w:pStyle w:val="Normal"/>
        <w:shd w:val="clear" w:color="auto" w:fill="FFFFFF"/>
        <w:spacing w:lineRule="auto" w:line="276"/>
        <w:jc w:val="both"/>
        <w:rPr/>
      </w:pPr>
      <w:r>
        <w:rPr>
          <w:b/>
          <w:sz w:val="28"/>
          <w:szCs w:val="28"/>
        </w:rPr>
        <w:t>Теплоснабжение города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действующего концессионного соглашения ООО «ТК Новгородская» в 2020 году выполнено техперевооружение 4 котельных на общую сумму 351 млн. рублей.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Планы на 2021 год - техперевооружение основной левобережной котельной № 71. Эта единственная котельная, которая еще не прошла модернизацию.  На эти цели будет направлено порядка 300,0 млн. рублей. </w:t>
      </w:r>
      <w:r>
        <w:rPr>
          <w:i w:val="false"/>
          <w:iCs w:val="false"/>
          <w:sz w:val="28"/>
          <w:szCs w:val="28"/>
        </w:rPr>
        <w:t>В зоне обслуживания котельной проживает более 46 тыс. человек, расположены  167 МКД, 29 образовательных учреждений, 8 объектов здравоохранения и 3 объекта соцобслуживания.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color w:val="000000"/>
          <w:sz w:val="28"/>
          <w:szCs w:val="28"/>
        </w:rPr>
        <w:t>Реконструкция Левобережных очистных сооружений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2021 году будут завершены работы по реконструкции Левобережных очистных сооружений, которые были построены в 1972 году и сданы в эксплуатацию без сооружений утилизации осадка промывных вод. Реализация проекта позволит прекратить сброс промывных вод и осадка в Гребной канал и улучшить экологическую обстановку в акватории реки Волхов.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Участие Великого Новгорода в реализации региональной адресной программы по расселению аварийного жилого фонда</w:t>
      </w:r>
    </w:p>
    <w:p>
      <w:pPr>
        <w:pStyle w:val="Normal"/>
        <w:shd w:val="clear" w:color="auto" w:fill="FFFFFF"/>
        <w:spacing w:lineRule="auto" w:line="276"/>
        <w:ind w:right="57" w:firstLine="737"/>
        <w:jc w:val="both"/>
        <w:rPr/>
      </w:pPr>
      <w:r>
        <w:rPr>
          <w:sz w:val="28"/>
          <w:szCs w:val="28"/>
        </w:rPr>
        <w:t xml:space="preserve">Благодаря нашей с Вами совместной работе, решена еще одна проблема  – частичный перенос расселения ветхого и аварийного жилья в рамках региональной адресной программы с 2022 на 2021 год. Всего в период до 2023 года планируется расселить 7 многоквартирных домов, </w:t>
      </w:r>
      <w:r>
        <w:rPr>
          <w:color w:val="000000"/>
          <w:sz w:val="28"/>
          <w:szCs w:val="28"/>
        </w:rPr>
        <w:t>новое жилье получат 22 новгородских семьи, 81 семья получит денежное возмещение за жилые помещения, находящиеся у них в собственности.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Учитывая опыт работы в 2019 году, в бюджете города предусматриваются дополнительные средства для приобретения жилья, так как федеральных средств недостаточно в связи с тем, что выделяются они из расчета 36 996 рублей за 1 кв.м жилья. Таким образом, благодаря совместной с Вами работе, уважаемые депутаты, решается еще одна проблема.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bCs/>
          <w:color w:val="000000"/>
          <w:sz w:val="28"/>
          <w:szCs w:val="28"/>
        </w:rPr>
        <w:t>Исполнение судебных решений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rFonts w:ascii="Times New Roman" w:hAnsi="Times New Roman"/>
          <w:color w:val="000000"/>
          <w:sz w:val="28"/>
          <w:szCs w:val="28"/>
        </w:rPr>
        <w:t>А</w:t>
      </w:r>
      <w:r>
        <w:rPr>
          <w:rFonts w:ascii="Times New Roman" w:hAnsi="Times New Roman"/>
          <w:color w:val="000000"/>
          <w:sz w:val="28"/>
        </w:rPr>
        <w:t>дминистрация Великого Новгорода последовательно выполняет свои обязательства по содержанию муниципального жилфонда и реализует комплекс мероприятий по его капитальному ремонту  в соответствии с  судебным решениям. С 2006 года стоит задача выполнения судебных решений на эти цели ежегодно выделяются средства. В 2020 году на решение данного вопроса из бюджета города было направлено 47,68 млн. рублей. За счет указанных средств проведен капитальный ремонт в 15 многоквартирных домах. По 21 МКД произведена оплата исполнительных листов за выполненные самостоятельно работы. Таким образом,  выполнены в полном объеме 11 судебных решений, по 25 решениям суда работы выполнены частично.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Жилищное строительство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Строительство нового жилья для горожан - также важный аспект нашей деятельности. 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В 2020 году на территории Великого Новгорода введено в эксплуатацию 97834 кв.м жилья. Я благодарю руководителей строительных компаний, которые в непростых условиях продолжают реализацию проектов по строительству комфортного и качественного жилья для новгородцев. 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Формирование современной городской среды. Реконструкция Ильина улицы</w:t>
      </w:r>
    </w:p>
    <w:p>
      <w:pPr>
        <w:pStyle w:val="Normal"/>
        <w:spacing w:lineRule="auto" w:line="276"/>
        <w:ind w:firstLine="709"/>
        <w:jc w:val="both"/>
        <w:rPr>
          <w:highlight w:val="yellow"/>
        </w:rPr>
      </w:pPr>
      <w:r>
        <w:rPr>
          <w:sz w:val="28"/>
          <w:szCs w:val="28"/>
        </w:rPr>
        <w:t>Хочу отметить, что развитие областного центра находится в поле зрения Губернатора области, на федеральном уровне приняты важные решения по развитию туристической сферы. И начиная с прошлого года, мы активно реализуем большие и значимые проекты.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В городе появится первая пешеходная улица - Ильина улица. </w:t>
      </w:r>
      <w:r>
        <w:rPr>
          <w:i w:val="false"/>
          <w:iCs w:val="false"/>
          <w:color w:val="000000"/>
          <w:sz w:val="28"/>
          <w:szCs w:val="28"/>
        </w:rPr>
        <w:t xml:space="preserve">По одной из сторон улицы будет сохранено одностороннее движение автомобильного транспорта. </w:t>
      </w:r>
      <w:r>
        <w:rPr>
          <w:color w:val="000000"/>
          <w:sz w:val="28"/>
          <w:szCs w:val="28"/>
        </w:rPr>
        <w:t xml:space="preserve">Ведутся работы по ее реконструкции.  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Формирование современной городской среды. Реконструкция Софийской набережной</w:t>
      </w:r>
    </w:p>
    <w:p>
      <w:pPr>
        <w:pStyle w:val="Normal"/>
        <w:spacing w:lineRule="auto" w:line="27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Продолжается реконструкция набережных - Софийской и Александра Невского, определяющих лицо города. В этом году будет запущен процесс реконструкции на участке от гостиницы «Амакс отель Россия» до Ярославова Дворища.</w:t>
      </w:r>
    </w:p>
    <w:p>
      <w:pPr>
        <w:pStyle w:val="Normal"/>
        <w:spacing w:lineRule="auto" w:line="276"/>
        <w:ind w:hanging="0"/>
        <w:jc w:val="both"/>
        <w:rPr>
          <w:b/>
          <w:b/>
          <w:bCs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bCs/>
          <w:sz w:val="28"/>
          <w:szCs w:val="28"/>
        </w:rPr>
        <w:t>Формирование современной городской среды. Реконструкция набережной А</w:t>
      </w:r>
      <w:r>
        <w:rPr>
          <w:b/>
          <w:bCs/>
          <w:sz w:val="28"/>
          <w:szCs w:val="28"/>
        </w:rPr>
        <w:t xml:space="preserve">лександра </w:t>
      </w:r>
      <w:r>
        <w:rPr>
          <w:b/>
          <w:bCs/>
          <w:sz w:val="28"/>
          <w:szCs w:val="28"/>
        </w:rPr>
        <w:t>Невского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Результатом реализации этих крупных проектов станет преображение части исторического центра города, которое смогут оценить туристы, новгородцы и бизнес. 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bCs/>
          <w:color w:val="000000"/>
          <w:sz w:val="28"/>
          <w:szCs w:val="28"/>
        </w:rPr>
        <w:t>Туристическая инфраструктура. Ревитализация туристического центра города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Мы тесно работаем с предпринимателями и хочу сказать им большое спасибо, что несмотря на объективные сложности, в городе открылось 6 новых гостиниц. Туристическая инфраструктура продолжает развиваться.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Идет работа по историческим кварталам. Уже заключен контракт на разработку концепции ревитализации исторической части Великого Новгорода, которая включает в себя концепцию освещения, озеленения, навигации –все то,  что волнует новгородцев. Результатом участия города в этом проекте должна стать полностью обновленная инфраструктура того, что относится к туристическому центру города, конечно, с интеграцией проектов, которые реализуются уже сейчас, а также с использованием наработок, идей и проектов, которые накопились в Администрации Великого Новгорода, у активных жителей, бизнесменов, инвесторов.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Индекс качества городской среды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Благоустроенность территории определяет индекс качества городской среды. И здесь важна величина его изменения от года к году. В </w:t>
      </w:r>
      <w:r>
        <w:rPr>
          <w:color w:val="000000"/>
          <w:sz w:val="28"/>
          <w:szCs w:val="28"/>
        </w:rPr>
        <w:t xml:space="preserve"> 2018 году индекс составил 217 баллов, в </w:t>
      </w:r>
      <w:r>
        <w:rPr>
          <w:sz w:val="28"/>
          <w:szCs w:val="28"/>
        </w:rPr>
        <w:t>2019 году -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228 баллов, и это 4 место среди 93 городов с населением от 100 до 250 тыс. человек. Мы уступили только городам Реутов, Красногорск, Одинцово, расположенным в Московской области. Нам удается двигаться с опережением плановых показателей. По итогам 2020 года при плановом значении 228 баллов мы планируем достичь уровень 230  баллов, план на 2021 год – 239 баллов.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Повышение уровня развития инфраструктуры города оказывает положительное влияние на его инвестиционную привлекательность.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 xml:space="preserve">Реализованные инвестиционные проекты в 2020 году. 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2020 году на территории города реализовано 11 инвестиционных проектов с общим объемом инвестиций более 10,6 млрд. рублей, создано более 300 новых рабочих мест.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Реализация инвестиционных программ предприятий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Мы постоянно взаимодействуем с руководителями предприятий города, получаем информацию в том числе о ходе реализации инвестиционных программ и планов модернизации производств. Всего в стадии реализации находится </w:t>
      </w:r>
      <w:r>
        <w:rPr>
          <w:color w:val="000000"/>
          <w:sz w:val="28"/>
          <w:szCs w:val="28"/>
        </w:rPr>
        <w:t>25 </w:t>
      </w:r>
      <w:r>
        <w:rPr>
          <w:sz w:val="28"/>
          <w:szCs w:val="28"/>
        </w:rPr>
        <w:t>крупных инвестиционных проектов на общую сумму 19,1 млрд. рублей, из них в производственной сфере - 7 проектов на сумму 8,1 млрд. рублей.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Механизмы содействия бизнесу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С целью эффективного развития промышленного сектора мы используем следующие механизмы содействия бизнесу: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- расширение перечня инвестиционных площадок. В 2020 году перечень пополнился 6-ю площадками;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- создание новых и использование потенциала существующих бизнес-инкубаторов и технопарко</w:t>
      </w:r>
      <w:r>
        <w:rPr>
          <w:i w:val="false"/>
          <w:iCs w:val="false"/>
          <w:sz w:val="28"/>
          <w:szCs w:val="28"/>
        </w:rPr>
        <w:t>в. В 2020 году создан технопарк «Трансвит», в котором работают 3 резидента, в 2021 году их число может увеличиться до 10. В планах предприятия – получение статуса федерального технопарка, что поможет привлекать крупных инвесторов и  резидентов, а также претендовать на федеральную поддержку. В настоящее время в городе действует 2 технопарка (7 резидентов), 2 бизнес – инкубатора (16 резидентов).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>Мы также используем возможности площадки «Мой бизнес», на которой организовано предоставление услуг Агентства развития Новгородской области, Новгородского фонда поддержки малого предпринимательства, Центра инноваций социальной сферы, Центра консалтинга и инноваций АПК, Новгородского центра развития инноваций и промышленности, МФЦ, и других структур поддержки бизнеса.</w:t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>Инновации в промышленности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Предприятия города активно работают над вопросом внедрения инноваций.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sz w:val="28"/>
          <w:szCs w:val="28"/>
        </w:rPr>
        <w:t>Так ООО «Грумант» впервые в России создан инновационный продукт -экстракт черники с содержанием 25% антоцианидинов, который используется в пищевой промышленности.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lang w:eastAsia="en-US"/>
        </w:rPr>
        <w:t>Новгородский научно-исследовательский институт промышленного телевидения «Растр», являющийся частью холдинга «Росэлектроника» госкорпорации Ростех, разработал и выполнил поставку уникальной системы оборудования для видеонаблюдения в шахтах, система не имеет аналогов по уровню взрывозащиты.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lang w:eastAsia="en-US"/>
        </w:rPr>
        <w:t>На предприятии АО «Специальное конструкторско-технологическое бюро по релейной технике» внедрили бережливое производство на линии электромагнитных реле, в рамках национального проекта «Производительность труда и поддержка занятости».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i/>
          <w:i/>
          <w:color w:val="000000"/>
          <w:sz w:val="28"/>
          <w:szCs w:val="28"/>
        </w:rPr>
      </w:pPr>
      <w:r>
        <w:rPr>
          <w:i w:val="false"/>
          <w:iCs w:val="false"/>
          <w:color w:val="000000"/>
          <w:sz w:val="28"/>
          <w:szCs w:val="28"/>
          <w:lang w:eastAsia="en-US"/>
        </w:rPr>
        <w:t>АО Научно-производственное объединение «Квант» (входит в АО «КРЭТ» госкорпорации «Ростех») планирует наладить серийное производство модульных протезов SmartLi разработки «Техбионик».</w:t>
      </w:r>
    </w:p>
    <w:p>
      <w:pPr>
        <w:pStyle w:val="Normal"/>
        <w:shd w:val="clear" w:color="auto" w:fill="FFFFFF"/>
        <w:spacing w:lineRule="auto" w:line="276" w:before="48" w:after="48"/>
        <w:ind w:right="851"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 w:before="48" w:after="48"/>
        <w:ind w:right="851" w:hanging="0"/>
        <w:jc w:val="both"/>
        <w:rPr/>
      </w:pPr>
      <w:r>
        <w:rPr>
          <w:b/>
          <w:bCs/>
          <w:color w:val="000000"/>
          <w:sz w:val="28"/>
          <w:szCs w:val="28"/>
        </w:rPr>
        <w:t xml:space="preserve">Развитие промышленного сектора </w:t>
      </w:r>
    </w:p>
    <w:p>
      <w:pPr>
        <w:pStyle w:val="Normal"/>
        <w:shd w:val="clear" w:color="auto" w:fill="FFFFFF"/>
        <w:spacing w:lineRule="auto" w:line="276" w:before="48" w:after="48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Продолжается работа, направленная на развитие промышленного сектора экономики города.</w:t>
      </w:r>
    </w:p>
    <w:p>
      <w:pPr>
        <w:pStyle w:val="Normal"/>
        <w:shd w:val="clear" w:color="auto" w:fill="FFFFFF"/>
        <w:spacing w:lineRule="auto" w:line="276" w:before="48" w:after="48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>3 земельных участка, расположенные в Северном районе города, включены в заявку по созданию особой экономической зоны, которая находится на согласовании в Правительстве РФ. Направлениями работы новгородской ОЭЗ станут электронная промышленность, машиностроение, радиоэлектроника и фармацевтика.</w:t>
      </w:r>
    </w:p>
    <w:p>
      <w:pPr>
        <w:pStyle w:val="Normal"/>
        <w:shd w:val="clear" w:color="auto" w:fill="FFFFFF"/>
        <w:spacing w:lineRule="auto" w:line="276" w:before="48" w:after="48"/>
        <w:ind w:firstLine="709"/>
        <w:jc w:val="both"/>
        <w:rPr/>
      </w:pPr>
      <w:r>
        <w:rPr>
          <w:color w:val="000000"/>
          <w:sz w:val="28"/>
          <w:szCs w:val="28"/>
        </w:rPr>
        <w:t>Перспективным считаю решение о создании в Новгородской области инновационного научно-технического центра (ИНТЦ) «Интеллектуальная электроника – Валдай», принятое в 2020 году. Это позволит придать  дополнительный импульс для развития предприятий оборонно-промышленного  и топливно-энергетического комплекса, расположенных Великом Новгороде. Проект является региональным и мы будем принимать в нем самое активное участие.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bCs/>
          <w:color w:val="000000"/>
          <w:sz w:val="28"/>
          <w:szCs w:val="28"/>
        </w:rPr>
        <w:t>Поддержка субъектов МСП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целью создания благоприятных условий  для развития малого и среднего бизнеса в Великом Новгороде реализуется соответствующая муниципальная программа. Традиционно осуществляется финансовая, имущественная и информационно-консультационная поддержка субъектов малого и среднего предпринимательства. Особенно такая поддержка важна в условиях пандемии.</w:t>
      </w:r>
    </w:p>
    <w:p>
      <w:pPr>
        <w:pStyle w:val="Normal"/>
        <w:shd w:val="clear" w:color="auto" w:fill="FFFFFF"/>
        <w:spacing w:lineRule="auto" w:line="276" w:before="48" w:after="48"/>
        <w:ind w:firstLine="709"/>
        <w:jc w:val="both"/>
        <w:rPr/>
      </w:pPr>
      <w:r>
        <w:rPr>
          <w:color w:val="000000"/>
          <w:sz w:val="28"/>
          <w:szCs w:val="28"/>
          <w:lang w:eastAsia="en-US"/>
        </w:rPr>
        <w:t>С появлением в 2020 году на территории Новгородской области специального налогового режима «Налог на профессиональный доход» в Великом Новгороде 1798 человек зарегистрировались в качестве самозанятых, пополнив ряды тех, кто осуществляет предпринимательскую деятельность. Это составляет более 65 % использующих данный налоговый режим в Новгородской области.</w:t>
      </w:r>
    </w:p>
    <w:p>
      <w:pPr>
        <w:pStyle w:val="Normal"/>
        <w:shd w:val="clear" w:color="auto" w:fill="FFFFFF"/>
        <w:spacing w:lineRule="auto" w:line="276" w:before="48" w:after="48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Еще одним важным направлением нашей работы является направление «Человеческий капитал».</w:t>
      </w:r>
    </w:p>
    <w:p>
      <w:pPr>
        <w:pStyle w:val="Normal"/>
        <w:shd w:val="clear" w:color="auto" w:fill="FFFFFF"/>
        <w:spacing w:lineRule="auto" w:line="276" w:before="48" w:after="48"/>
        <w:ind w:firstLine="709"/>
        <w:jc w:val="both"/>
        <w:rPr/>
      </w:pPr>
      <w:r>
        <w:rPr>
          <w:color w:val="000000"/>
          <w:sz w:val="28"/>
          <w:szCs w:val="28"/>
          <w:lang w:eastAsia="en-US"/>
        </w:rPr>
        <w:t>Наша страна сейчас находится в периоде активного продвижения и реализации политики</w:t>
      </w:r>
      <w:r>
        <w:rPr>
          <w:color w:val="000000"/>
          <w:sz w:val="28"/>
          <w:szCs w:val="28"/>
        </w:rPr>
        <w:t xml:space="preserve"> государственной заботы  о человеке, о семье. </w:t>
      </w:r>
    </w:p>
    <w:p>
      <w:pPr>
        <w:pStyle w:val="Normal"/>
        <w:spacing w:lineRule="auto" w:line="276"/>
        <w:ind w:hanging="0"/>
        <w:jc w:val="both"/>
        <w:rPr>
          <w:b/>
          <w:b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color w:val="000000"/>
          <w:sz w:val="28"/>
          <w:szCs w:val="28"/>
        </w:rPr>
        <w:t>Социальная поддержка молодых семей и семей с детьми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highlight w:val="white"/>
        </w:rPr>
        <w:t xml:space="preserve">Поэтому поддержка семей с </w:t>
      </w:r>
      <w:r>
        <w:rPr>
          <w:color w:val="000000"/>
          <w:sz w:val="28"/>
          <w:szCs w:val="28"/>
        </w:rPr>
        <w:t xml:space="preserve">детьми по-прежнему </w:t>
      </w:r>
      <w:r>
        <w:rPr>
          <w:color w:val="000000"/>
          <w:sz w:val="28"/>
          <w:szCs w:val="28"/>
          <w:highlight w:val="white"/>
        </w:rPr>
        <w:t xml:space="preserve">оставалась приоритетом в деятельности Администрации в истекшем году. 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highlight w:val="white"/>
        </w:rPr>
        <w:t>При рождении первого ребенка наряду с выплатой из федерального бюджета в размере 483,8 тыс. рублей,  выплатой из регионального бюджета в  сумме 100 тыс.рублей мы вносим свою лепту и выплачиваем единовременное пособие в размере 7,5 тыс. рублей. Отмечу, что такая поддержка со стороны муниципалитета существует только в областном центре.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highlight w:val="white"/>
        </w:rPr>
        <w:t xml:space="preserve">За счет средств бюджета Великого Новгорода </w:t>
      </w:r>
      <w:r>
        <w:rPr>
          <w:color w:val="000000"/>
          <w:sz w:val="28"/>
          <w:szCs w:val="28"/>
        </w:rPr>
        <w:t>590 с</w:t>
      </w:r>
      <w:r>
        <w:rPr>
          <w:color w:val="000000"/>
          <w:sz w:val="28"/>
          <w:szCs w:val="28"/>
          <w:highlight w:val="white"/>
        </w:rPr>
        <w:t>емей получили единовременное пособие при рождении первого ребенка</w:t>
      </w:r>
      <w:r>
        <w:rPr>
          <w:color w:val="000000"/>
          <w:sz w:val="28"/>
          <w:szCs w:val="28"/>
        </w:rPr>
        <w:t xml:space="preserve">, 28-ми  многодетным </w:t>
      </w:r>
      <w:r>
        <w:rPr>
          <w:color w:val="000000"/>
          <w:sz w:val="28"/>
          <w:szCs w:val="28"/>
          <w:highlight w:val="white"/>
        </w:rPr>
        <w:t xml:space="preserve">семьям предоставлена ежемесячная денежная компенсация за коммунальные услуги, единовременные выплаты при одновременном рождении двух детей на улучшение жилищных условий предоставлены </w:t>
      </w:r>
      <w:r>
        <w:rPr>
          <w:color w:val="000000"/>
          <w:sz w:val="28"/>
          <w:szCs w:val="28"/>
        </w:rPr>
        <w:t>3 с</w:t>
      </w:r>
      <w:r>
        <w:rPr>
          <w:color w:val="000000"/>
          <w:sz w:val="28"/>
          <w:szCs w:val="28"/>
          <w:highlight w:val="white"/>
        </w:rPr>
        <w:t>емьям.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За счет средств бюджетов всех уровней на общую сумму 19,0 млн. рублей предоставлены социальные выплаты на приобретение жилых помещений или строительство индивидуального жилья 20-ти молодым семьям.</w:t>
      </w:r>
    </w:p>
    <w:p>
      <w:pPr>
        <w:pStyle w:val="Normal"/>
        <w:spacing w:lineRule="auto" w:line="276"/>
        <w:ind w:right="851" w:hanging="0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right="851" w:hanging="0"/>
        <w:rPr/>
      </w:pPr>
      <w:r>
        <w:rPr>
          <w:b/>
          <w:bCs/>
          <w:color w:val="000000"/>
          <w:sz w:val="28"/>
          <w:szCs w:val="28"/>
        </w:rPr>
        <w:t>Обеспечение жильем детей сирот</w:t>
      </w:r>
    </w:p>
    <w:p>
      <w:pPr>
        <w:pStyle w:val="Normal"/>
        <w:spacing w:lineRule="auto" w:line="276"/>
        <w:ind w:right="851" w:firstLine="709"/>
        <w:rPr/>
      </w:pPr>
      <w:r>
        <w:rPr>
          <w:bCs/>
          <w:color w:val="000000"/>
          <w:sz w:val="28"/>
          <w:szCs w:val="28"/>
        </w:rPr>
        <w:t>Очень важный вопрос – обеспечение жильем детей сирот.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В рамках осуществления государственных полномочий по обеспечению жильем детей-сирот и лиц из их числа предоставлено 44 жилых помещения. </w:t>
      </w:r>
    </w:p>
    <w:p>
      <w:pPr>
        <w:pStyle w:val="Normal"/>
        <w:spacing w:lineRule="auto" w:line="276"/>
        <w:ind w:firstLine="709"/>
        <w:jc w:val="both"/>
        <w:rPr/>
      </w:pPr>
      <w:r>
        <w:rPr>
          <w:sz w:val="28"/>
          <w:szCs w:val="28"/>
        </w:rPr>
        <w:t xml:space="preserve">В областном бюджете на 2021 год запланированы средства в сумме 57,4 млн. рублей на обеспечение </w:t>
      </w:r>
      <w:r>
        <w:rPr>
          <w:color w:val="000000"/>
          <w:sz w:val="28"/>
          <w:szCs w:val="28"/>
        </w:rPr>
        <w:t>жильем 43-х новгородцев, относящихся к данной категории.  ( В настоящее время в списке очередников 226 человек, в т.ч. 127 человек , у которых возникло право.)</w:t>
      </w:r>
    </w:p>
    <w:p>
      <w:pPr>
        <w:pStyle w:val="Normal"/>
        <w:spacing w:lineRule="auto" w:line="276"/>
        <w:ind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bCs/>
          <w:color w:val="000000"/>
          <w:sz w:val="28"/>
          <w:szCs w:val="28"/>
        </w:rPr>
        <w:t>Проект «Формула успеха моей семьи»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highlight w:val="white"/>
        </w:rPr>
        <w:t xml:space="preserve">В период пандемии </w:t>
      </w:r>
      <w:r>
        <w:rPr>
          <w:color w:val="000000"/>
          <w:sz w:val="28"/>
          <w:szCs w:val="28"/>
        </w:rPr>
        <w:t>коронавируса, когда под ударом оказались экономика, рынок труда и, конечно, благополучие наших граждан, особую актуальность приобрело участие новгородцев в реализации проекта «Формула успеха моей семьи», который реализуется в нашем регионе по инициативе Губернатора Андрея Сергеевича Никитина.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По итогам 2020 года заключено 1917 социальных контрактов, в том числе государственную социальную помощь на трудоустройство получили 944 человека, на прохождение профессионального обучения и дополнительного профессионального образования – 54 человека, на осуществление индивидуальной предпринимательской деятельности 117 граждан, на мероприятия, направленные на преодоление трудной жизненной ситуации – 802 человека.</w:t>
      </w:r>
    </w:p>
    <w:p>
      <w:pPr>
        <w:pStyle w:val="Normal"/>
        <w:spacing w:lineRule="auto" w:line="276"/>
        <w:ind w:hanging="0"/>
        <w:jc w:val="both"/>
        <w:rPr>
          <w:b/>
          <w:b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color w:val="000000"/>
          <w:sz w:val="28"/>
          <w:szCs w:val="28"/>
        </w:rPr>
        <w:t>Федеральные проекты «Спорт — норма жизни» и «Старшее поколение», «Содействие занятости женщин».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Повышение благосостояния влияет на уровень уверенности семей, общее настроение людей и планирование семей </w:t>
      </w:r>
      <w:r>
        <w:rPr>
          <w:color w:val="000000"/>
          <w:sz w:val="28"/>
          <w:szCs w:val="28"/>
          <w:highlight w:val="white"/>
        </w:rPr>
        <w:t xml:space="preserve">и, </w:t>
      </w:r>
      <w:r>
        <w:rPr>
          <w:color w:val="000000"/>
          <w:sz w:val="28"/>
          <w:szCs w:val="28"/>
        </w:rPr>
        <w:t xml:space="preserve">безусловно, остается </w:t>
      </w:r>
      <w:r>
        <w:rPr>
          <w:color w:val="000000"/>
          <w:sz w:val="28"/>
          <w:szCs w:val="28"/>
          <w:highlight w:val="white"/>
        </w:rPr>
        <w:t>важной задачей для нас на ближайшие годы.</w:t>
      </w:r>
    </w:p>
    <w:p>
      <w:pPr>
        <w:pStyle w:val="Normal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Помимо финансовой поддержки семей частью комплекса мер по улучшению социально-экономической ситуации, от которой в конечном итоге и зависит уверенность граждан в будущем своих детей, является участие в федеральных проектах в рамках национального проекта «Демография».</w:t>
      </w:r>
    </w:p>
    <w:p>
      <w:pPr>
        <w:pStyle w:val="Normal"/>
        <w:spacing w:lineRule="auto" w:line="276"/>
        <w:ind w:hanging="0"/>
        <w:jc w:val="both"/>
        <w:rPr>
          <w:b/>
          <w:b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color w:val="000000"/>
          <w:sz w:val="28"/>
          <w:szCs w:val="28"/>
        </w:rPr>
        <w:t>Обеспечение детей от 2 мес. до 3 лет местами в дет. садах</w:t>
      </w:r>
    </w:p>
    <w:p>
      <w:pPr>
        <w:pStyle w:val="Normal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Напомню, что строительство детских садов не велось в городе более 30 лет.  И на протяжении последних двух лет этот вопрос не уходит из общественной повестки, тем более, что нам пришлось столкнуться с недобросовестным подрядчиком.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Хочу сообщить Вам, что все суды в отношении подрядчика ООО «Спецстрой», не выполнившего свои обязательства по строительству детских садов,  выиграны. </w:t>
      </w:r>
    </w:p>
    <w:p>
      <w:pPr>
        <w:pStyle w:val="Normal"/>
        <w:spacing w:lineRule="auto" w:line="276"/>
        <w:jc w:val="both"/>
        <w:rPr/>
      </w:pPr>
      <w:r>
        <w:rPr>
          <w:color w:val="000000"/>
          <w:sz w:val="28"/>
          <w:szCs w:val="28"/>
        </w:rPr>
        <w:tab/>
        <w:t xml:space="preserve">В ноябре 2020 года открыт новый детский сад на 190 мест в жилом районе Ивушки. Вводятся два новых детских садов также по 190 мест каждый на ул. Вересова и ул. Речной. И в ближайшие недели там зазвенят детские голоса. Общая стоимость работ составляет 488,9 млн. рублей. </w:t>
      </w:r>
    </w:p>
    <w:p>
      <w:pPr>
        <w:pStyle w:val="Normal"/>
        <w:spacing w:lineRule="auto" w:line="276"/>
        <w:ind w:hanging="0"/>
        <w:jc w:val="both"/>
        <w:rPr>
          <w:b/>
          <w:b/>
          <w:bCs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bCs/>
          <w:color w:val="000000"/>
          <w:sz w:val="28"/>
          <w:szCs w:val="28"/>
        </w:rPr>
        <w:t xml:space="preserve">Реализация  федерального проекта «Спорт  - норма жизни» национального проекта «Демография» 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Для города с 225 –ю тысячным населением развитие учреждений спорта просто необходимо. Поэтому в текущем году будем завершать начатое в 2020 году строительство физкультурно-спортивного комплекса по улице Вересова, где одновременно могут заниматься 35 человек такими видами спорта, как футбол, волейбол, баскетбол. У города была возможность иметь свой ФОК, но этого не случилось, так как город затянул строительство и завершала его уже область, которой теперь ФОК и принадлежит. </w:t>
      </w:r>
    </w:p>
    <w:p>
      <w:pPr>
        <w:pStyle w:val="Normal"/>
        <w:spacing w:lineRule="auto" w:line="276"/>
        <w:ind w:hanging="0"/>
        <w:jc w:val="both"/>
        <w:rPr>
          <w:b/>
          <w:b/>
          <w:color w:val="000000"/>
          <w:sz w:val="28"/>
          <w:szCs w:val="28"/>
        </w:rPr>
      </w:pPr>
      <w:r>
        <w:rPr/>
      </w:r>
    </w:p>
    <w:p>
      <w:pPr>
        <w:pStyle w:val="Normal"/>
        <w:spacing w:lineRule="auto" w:line="276"/>
        <w:ind w:hanging="0"/>
        <w:jc w:val="both"/>
        <w:rPr/>
      </w:pPr>
      <w:r>
        <w:rPr>
          <w:b/>
          <w:color w:val="000000"/>
          <w:sz w:val="28"/>
          <w:szCs w:val="28"/>
        </w:rPr>
        <w:t>Физкультура и спорт</w:t>
      </w:r>
    </w:p>
    <w:p>
      <w:pPr>
        <w:pStyle w:val="Normal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>Подчеркну, что  к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 xml:space="preserve">оличество занимающихся физической культурой и спортом в 2020 году составило более 95 тысяч человек или  45,3 % от общего количества населения и увеличилось по отношению к 2019 году на 6,2 %. Это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соответствует установленным контрольным показателям.</w:t>
      </w:r>
    </w:p>
    <w:p>
      <w:pPr>
        <w:pStyle w:val="Normal"/>
        <w:spacing w:lineRule="auto" w:line="276"/>
        <w:ind w:firstLine="709"/>
        <w:jc w:val="both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Этот год, несмотря на все сложности, не стал исключением в спортивных достижениях новгородцев.  Более 60 раз представители новгородского спорта поднимались на пьедестал почёта Чемпионатов и Первенств России по 14 видам спорта. Наивысших достижений на международной арене наши земляки добились в единоборствах, пауэрлифтинге, тяжёлой атлетике, спортивной акробатике, велосипедном спорте, гребле, спортивном ориентировании. Особо </w:t>
      </w:r>
      <w:bookmarkStart w:id="0" w:name="_GoBack"/>
      <w:r>
        <w:rPr>
          <w:rFonts w:cs="Times New Roman" w:ascii="Times New Roman" w:hAnsi="Times New Roman"/>
          <w:color w:val="000000"/>
          <w:sz w:val="28"/>
          <w:szCs w:val="28"/>
        </w:rPr>
        <w:t xml:space="preserve">хочу отметить Соколову Надежду , занявшую 1 место в Чемпионате России по </w:t>
      </w:r>
      <w:bookmarkEnd w:id="0"/>
      <w:r>
        <w:rPr>
          <w:rFonts w:cs="Times New Roman" w:ascii="Times New Roman" w:hAnsi="Times New Roman"/>
          <w:color w:val="000000"/>
          <w:sz w:val="28"/>
          <w:szCs w:val="28"/>
        </w:rPr>
        <w:t>спортивной борьбе, и Федора Петрова, серебряного призера Чемпионата  России и Кубка России  по тяжелой атлетике.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sz w:val="28"/>
          <w:szCs w:val="28"/>
        </w:rPr>
        <w:t>Федеральный проект «Цифровая образовательная среда»</w:t>
      </w:r>
    </w:p>
    <w:p>
      <w:pPr>
        <w:pStyle w:val="Normal"/>
        <w:spacing w:lineRule="auto" w:line="276"/>
        <w:ind w:firstLine="708"/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2020 год стал во многом прорывным для новгородского образования. Были приняты важные решения по повышению качества работы всей системы образования, по организации образовательного процесса с преимущественным применением электронного обучения. Переход был непростым. Поэтому активное включение города в реализацию мероприятий национального проекта «Образование» в части региональной </w:t>
      </w:r>
      <w:r>
        <w:rPr>
          <w:sz w:val="28"/>
          <w:szCs w:val="28"/>
        </w:rPr>
        <w:t xml:space="preserve">составляющей федерального проекта «Цифровая образовательная среда» (ЦОС) </w:t>
      </w:r>
      <w:r>
        <w:rPr>
          <w:color w:val="000000"/>
          <w:sz w:val="28"/>
          <w:szCs w:val="28"/>
        </w:rPr>
        <w:t xml:space="preserve">дало возможность приобрести за счет федеральных средств оборудование, которое позволит </w:t>
      </w:r>
      <w:r>
        <w:rPr>
          <w:bCs/>
          <w:sz w:val="28"/>
          <w:szCs w:val="28"/>
        </w:rPr>
        <w:t>сформировать у школьников навыки обучения в цифровом мире, умения создавать цифровые проекты для своей будущей профессии.</w:t>
      </w:r>
    </w:p>
    <w:p>
      <w:pPr>
        <w:pStyle w:val="Normal"/>
        <w:spacing w:lineRule="auto" w:line="27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2020 году в проекте приняли участие 29 школ города.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bCs/>
          <w:sz w:val="28"/>
          <w:szCs w:val="28"/>
        </w:rPr>
        <w:t>Капитальный ремонт гимназии «Исток» в рамках национального проекта «Образование»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В истекшем году в рамках национального проекта «Образование» закончен 1 этап капитального ремонта гимназии «Исток».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целях устранения аварийных ситуаций, модернизации образовательных учреждений города разработана ПСД в 10 образовательных учреждениях. Эти проекты по мере прохождения госэкспертизы будут направлены в Министерство образования Новгородской области. 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sz w:val="28"/>
          <w:szCs w:val="28"/>
        </w:rPr>
        <w:t>Устранение последствий паводка в МАУДО ДООЦ «Былина»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rFonts w:eastAsia="Calibri" w:eastAsiaTheme="minorHAnsi"/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 xml:space="preserve">В истекшем году за счет </w:t>
      </w:r>
      <w:r>
        <w:rPr>
          <w:rFonts w:eastAsia="Calibri" w:eastAsiaTheme="minorHAnsi"/>
          <w:color w:val="000000"/>
          <w:sz w:val="28"/>
          <w:szCs w:val="28"/>
          <w:lang w:eastAsia="en-US"/>
        </w:rPr>
        <w:t>средств Резервного фонда Правительства Российской Федерации</w:t>
      </w:r>
      <w:r>
        <w:rPr>
          <w:color w:val="000000"/>
          <w:sz w:val="28"/>
          <w:szCs w:val="28"/>
        </w:rPr>
        <w:t xml:space="preserve"> в общей сумме 15,8 млн. рублей мы устранили последствия паводка в детском образовательно-оздоровительном центре «Былина». Проведена </w:t>
      </w:r>
      <w:r>
        <w:rPr>
          <w:rFonts w:eastAsia="Calibri" w:eastAsiaTheme="minorHAnsi"/>
          <w:color w:val="000000"/>
          <w:sz w:val="28"/>
          <w:szCs w:val="28"/>
          <w:lang w:eastAsia="en-US"/>
        </w:rPr>
        <w:t xml:space="preserve">реконструкция пешеходного моста и ремонт домиков, восстановлено электроосвещение. 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sz w:val="28"/>
          <w:szCs w:val="28"/>
        </w:rPr>
        <w:t xml:space="preserve">Создание современных условий для обуения химии в ОУ в рамках соглашения с ПАО «АКРОН» в 2020 году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lang w:eastAsia="en-US"/>
        </w:rPr>
        <w:t>В 2020 году ПАО «Акрон» выделило</w:t>
      </w:r>
      <w:r>
        <w:rPr/>
        <w:t xml:space="preserve"> </w:t>
      </w:r>
      <w:r>
        <w:rPr>
          <w:color w:val="000000"/>
          <w:sz w:val="28"/>
          <w:szCs w:val="28"/>
          <w:lang w:eastAsia="en-US"/>
        </w:rPr>
        <w:t xml:space="preserve">15,9 млн. рублей на модернизацию кабинетов химии, что позволило в 8 образовательных учреждениях создать современные условия для обучения. 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lang w:eastAsia="en-US"/>
        </w:rPr>
        <w:t>В этом году мы планируем продолжить сотрудничество с ПАО «Акрон» и еще 7 современных школьных кабинетов откроются в школах города.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bCs/>
          <w:color w:val="000000"/>
          <w:sz w:val="28"/>
          <w:szCs w:val="28"/>
          <w:lang w:eastAsia="en-US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bCs/>
          <w:color w:val="000000"/>
          <w:sz w:val="28"/>
          <w:szCs w:val="28"/>
          <w:lang w:eastAsia="en-US"/>
        </w:rPr>
        <w:t>Проект « Город-Университет»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lang w:eastAsia="en-US"/>
        </w:rPr>
        <w:t>В рамках проекта «Город — Университет» комитетом по образованию совместно с НовГУ реализован проект «Шаг навстречу», который направлен на развитие профильного и предпрофильного образования и позволит объединить интеллектуальные и материально-технические ресурсы общего, среднего и высшего профессионального образования.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  <w:lang w:eastAsia="en-US"/>
        </w:rPr>
        <w:t xml:space="preserve">В проекте в 2020 году приняло участие более 4000 школьников 8-11 классов Великого Новгорода. 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sz w:val="26"/>
          <w:szCs w:val="26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sz w:val="26"/>
          <w:szCs w:val="26"/>
        </w:rPr>
        <w:t>Международные и всероссийские мероприятия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Великий Новгород в 2020 году стал площадкой для проведения крупных международных культурных мероприятий.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18-20 сентября состоялся IV Международный фестиваль музыкальных древностей «СЛОВИША» памяти Владимира Ивановича Поветкина.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19-20 сентября состоялись День города-2020 и X Русские Ганзейские дни в Великом Новгороде.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октябре состоялись XI Фестиваль классической музыки имени С.В. Рахманинова в Великом Новгороде и XII Международный конкурс юных пианистов имени С.В. Рахманинова.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фестиваля 1 октября состоялся концерт Большого симфонического оркестра им. П.И. Чайковского под управлением Д. Лотоева (солист – А. Писарев), прошли также выступления известных исполнителей общероссийского и международного уровней.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>
          <w:color w:val="000000"/>
          <w:sz w:val="28"/>
          <w:szCs w:val="28"/>
        </w:rPr>
        <w:t xml:space="preserve">Хочу отметить, что проводимые в городе культурные мероприятия и реализуемые проекты интересны и востребованы не только горожанами, но и известны далеко за пределами региона. В рамках проекта «Гостеприимная Россия» по итогам национальной премии «События России 2020» Международный театральный фестиваль Ф.М. Достоевского (второе) и мюзикл «Садко» (третье) заняли призовые места. Специальный диплом «За сохранение и популяризацию музыкальных древностей» получил фестиваль «Словиша». А буквально на днях стало известно, что Великий Новгород стал единственным городом России, который вошел в Топ-21 туристических дестинаций на  2021 год по мнению  крупнейшего издателя бесплатных путеводителей по европейским городам </w:t>
      </w:r>
      <w:r>
        <w:rPr>
          <w:color w:val="000000"/>
          <w:sz w:val="28"/>
          <w:szCs w:val="28"/>
          <w:lang w:val="en-US"/>
        </w:rPr>
        <w:t>In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Your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Pocket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City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Guides</w:t>
      </w:r>
      <w:r>
        <w:rPr>
          <w:color w:val="000000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b/>
          <w:b/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/>
      </w:pPr>
      <w:r>
        <w:rPr>
          <w:b/>
          <w:sz w:val="26"/>
          <w:szCs w:val="26"/>
        </w:rPr>
        <w:t>Общегородские мероприятия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>В 2020 году, как и в предыдущие годы, организованно прошли общегородские мероприятия. Проведены новогодняя ночь и  праздник «Рождество Христово на Софийской площади», народное гуляние «Масленица», мероприятия, посвященные празднованию 76-летия освобождения Новгорода от немецко-фашистских захватчиков, и мероприятия в ознаменование самого главного праздника - 75-й годовщины Победы в Великой Отечественной войне 1941-1945 годов.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>
          <w:color w:val="000000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Завершая свое выступление хочу сказать, что команда Администрации Великого Новгорода в тесном взаимодействии с депутатским корпусом Думы Великого Новгорода, Правительством области, гражданами успешно справилась со всеми трудностями и вызовами 2020 года.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Владимир Владимирович Путин, выступая на Давосском форуме, отметил, что  несмотря на клубок противоречий и вызовов, нам нужно, безусловно, не утрачивать позитивный взгляд на будущее и сохранять приверженность к созидательной повестке, вырабатывать общие подходы, максимально сближать позиции , чтобы продолжать движение по пути прогресса и развития. </w:t>
      </w:r>
    </w:p>
    <w:p>
      <w:pPr>
        <w:pStyle w:val="Normal"/>
        <w:shd w:val="clear" w:color="auto" w:fill="FFFFFF"/>
        <w:spacing w:lineRule="auto" w:line="276"/>
        <w:ind w:hang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Именно эти подходы лежат в основе стратегии, которую мы последовательно реализуем, для того, чтобы наш родной город становился комфортнее и краше.   </w:t>
      </w:r>
    </w:p>
    <w:p>
      <w:pPr>
        <w:pStyle w:val="Normal"/>
        <w:spacing w:before="90" w:after="90"/>
        <w:ind w:hanging="0"/>
        <w:jc w:val="both"/>
        <w:rPr/>
      </w:pPr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Жизнь и события в нашем городе весь 2020 год были под пристальным вниманием депутатского корпуса, СМИ, горожан. Я благодарю всех Вас за неравнодушие и деятельное участие в жизни родного города. Спасибо!</w:t>
      </w:r>
    </w:p>
    <w:p>
      <w:pPr>
        <w:pStyle w:val="Normal"/>
        <w:shd w:val="clear" w:color="auto" w:fill="FFFFFF"/>
        <w:spacing w:lineRule="auto" w:line="276"/>
        <w:ind w:firstLine="709"/>
        <w:jc w:val="both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78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74417"/>
    <w:pPr>
      <w:widowControl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3d458c"/>
    <w:rPr>
      <w:rFonts w:ascii="Tahoma" w:hAnsi="Tahoma" w:cs="Mangal"/>
      <w:sz w:val="16"/>
      <w:szCs w:val="14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/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Indexheading">
    <w:name w:val="index heading"/>
    <w:basedOn w:val="Normal"/>
    <w:qFormat/>
    <w:pPr>
      <w:suppressLineNumbers/>
    </w:pPr>
    <w:rPr/>
  </w:style>
  <w:style w:type="paragraph" w:styleId="Style20">
    <w:name w:val="Title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1" w:customStyle="1">
    <w:name w:val="Заголовок1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11" w:customStyle="1">
    <w:name w:val="Без интервала1"/>
    <w:qFormat/>
    <w:pPr>
      <w:widowControl/>
      <w:suppressAutoHyphens w:val="true"/>
      <w:bidi w:val="0"/>
      <w:spacing w:before="0" w:after="0"/>
      <w:jc w:val="left"/>
    </w:pPr>
    <w:rPr>
      <w:rFonts w:ascii="Calibri" w:hAnsi="Calibri" w:cs="Calibri" w:eastAsia="NSimSun"/>
      <w:color w:val="auto"/>
      <w:kern w:val="2"/>
      <w:sz w:val="24"/>
      <w:szCs w:val="24"/>
      <w:lang w:val="ru-RU" w:eastAsia="zh-CN" w:bidi="hi-IN"/>
    </w:rPr>
  </w:style>
  <w:style w:type="paragraph" w:styleId="NoSpacing">
    <w:name w:val="No Spacing"/>
    <w:qFormat/>
    <w:rsid w:val="007a19d6"/>
    <w:pPr>
      <w:widowControl/>
      <w:suppressAutoHyphens w:val="true"/>
      <w:bidi w:val="0"/>
      <w:spacing w:before="0" w:after="0"/>
      <w:jc w:val="left"/>
    </w:pPr>
    <w:rPr>
      <w:rFonts w:ascii="Liberation Serif;Times New Roma" w:hAnsi="Liberation Serif;Times New Roma" w:eastAsia="NSimSun" w:cs="Arial"/>
      <w:color w:val="auto"/>
      <w:kern w:val="2"/>
      <w:sz w:val="24"/>
      <w:szCs w:val="24"/>
      <w:lang w:val="ru-RU" w:eastAsia="zh-CN" w:bidi="hi-IN"/>
    </w:rPr>
  </w:style>
  <w:style w:type="paragraph" w:styleId="NormalWeb">
    <w:name w:val="Normal (Web)"/>
    <w:basedOn w:val="Normal"/>
    <w:uiPriority w:val="99"/>
    <w:semiHidden/>
    <w:unhideWhenUsed/>
    <w:qFormat/>
    <w:rsid w:val="007c7c51"/>
    <w:pPr>
      <w:spacing w:beforeAutospacing="1" w:afterAutospacing="1"/>
    </w:pPr>
    <w:rPr>
      <w:rFonts w:ascii="Times New Roman" w:hAnsi="Times New Roman" w:eastAsia="Times New Roman" w:cs="Times New Roman"/>
      <w:kern w:val="0"/>
      <w:lang w:eastAsia="ru-RU" w:bidi="ar-SA"/>
    </w:rPr>
  </w:style>
  <w:style w:type="paragraph" w:styleId="12" w:customStyle="1">
    <w:name w:val="Абзац списка1"/>
    <w:basedOn w:val="Normal"/>
    <w:qFormat/>
    <w:pPr>
      <w:suppressAutoHyphens w:val="true"/>
      <w:spacing w:lineRule="auto" w:line="276" w:before="0" w:after="200"/>
      <w:ind w:left="708" w:hanging="0"/>
    </w:pPr>
    <w:rPr>
      <w:rFonts w:ascii="Calibri" w:hAnsi="Calibri" w:eastAsia="Times New Roman" w:cs="Calibri"/>
      <w:kern w:val="0"/>
      <w:sz w:val="22"/>
      <w:szCs w:val="22"/>
      <w:lang w:bidi="ar-SA"/>
    </w:rPr>
  </w:style>
  <w:style w:type="paragraph" w:styleId="BalloonText">
    <w:name w:val="Balloon Text"/>
    <w:basedOn w:val="Normal"/>
    <w:uiPriority w:val="99"/>
    <w:semiHidden/>
    <w:unhideWhenUsed/>
    <w:qFormat/>
    <w:rsid w:val="003d458c"/>
    <w:pPr/>
    <w:rPr>
      <w:rFonts w:ascii="Tahoma" w:hAnsi="Tahoma" w:cs="Mangal"/>
      <w:sz w:val="16"/>
      <w:szCs w:val="1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Application>LibreOffice/6.4.0.3$Windows_X86_64 LibreOffice_project/b0a288ab3d2d4774cb44b62f04d5d28733ac6df8</Application>
  <Pages>16</Pages>
  <Words>4247</Words>
  <Characters>28790</Characters>
  <CharactersWithSpaces>32993</CharactersWithSpaces>
  <Paragraphs>178</Paragraphs>
  <Company>Administration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2021-02-15T18:08:00Z</dcterms:created>
  <dc:creator>Рожкова Татьяна Ивановна</dc:creator>
  <dc:description/>
  <dc:language>ru-RU</dc:language>
  <cp:lastModifiedBy/>
  <cp:lastPrinted>2021-02-24T14:34:00Z</cp:lastPrinted>
  <dcterms:modified xsi:type="dcterms:W3CDTF">2021-02-25T11:20:19Z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Administration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